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2F" w:rsidRDefault="00F42A2F" w:rsidP="00F42A2F">
      <w:pPr>
        <w:pStyle w:val="pboth"/>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Информация.</w:t>
      </w:r>
    </w:p>
    <w:p w:rsidR="00F42A2F" w:rsidRDefault="00F42A2F" w:rsidP="00F42A2F">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Статья 63. Первичные меры пожарной безопасности</w:t>
      </w:r>
    </w:p>
    <w:p w:rsidR="00F42A2F" w:rsidRDefault="00F42A2F" w:rsidP="00F42A2F">
      <w:pPr>
        <w:pStyle w:val="pboth"/>
        <w:shd w:val="clear" w:color="auto" w:fill="FFFFFF"/>
        <w:spacing w:before="0" w:beforeAutospacing="0" w:after="300" w:afterAutospacing="0" w:line="293" w:lineRule="atLeast"/>
        <w:rPr>
          <w:rFonts w:ascii="Arial" w:hAnsi="Arial" w:cs="Arial"/>
          <w:color w:val="000000"/>
          <w:sz w:val="23"/>
          <w:szCs w:val="23"/>
        </w:rPr>
      </w:pPr>
    </w:p>
    <w:p w:rsidR="00F42A2F" w:rsidRPr="00F42A2F" w:rsidRDefault="00F42A2F" w:rsidP="00F42A2F">
      <w:pPr>
        <w:pStyle w:val="pboth"/>
        <w:shd w:val="clear" w:color="auto" w:fill="FFFFFF"/>
        <w:spacing w:before="0" w:beforeAutospacing="0" w:after="300" w:afterAutospacing="0" w:line="293" w:lineRule="atLeast"/>
        <w:rPr>
          <w:rFonts w:ascii="Arial" w:hAnsi="Arial" w:cs="Arial"/>
          <w:b/>
          <w:color w:val="000000"/>
          <w:sz w:val="23"/>
          <w:szCs w:val="23"/>
        </w:rPr>
      </w:pPr>
      <w:r w:rsidRPr="00F42A2F">
        <w:rPr>
          <w:rFonts w:ascii="Arial" w:hAnsi="Arial" w:cs="Arial"/>
          <w:b/>
          <w:color w:val="000000"/>
          <w:sz w:val="23"/>
          <w:szCs w:val="23"/>
        </w:rPr>
        <w:t>Первичные меры пожарной безопасности включают в себя:</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0" w:name="100592"/>
      <w:bookmarkEnd w:id="0"/>
      <w:r>
        <w:rPr>
          <w:rFonts w:ascii="Arial" w:hAnsi="Arial" w:cs="Arial"/>
          <w:color w:val="000000"/>
          <w:sz w:val="23"/>
          <w:szCs w:val="23"/>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 w:name="100593"/>
      <w:bookmarkEnd w:id="1"/>
      <w:r>
        <w:rPr>
          <w:rFonts w:ascii="Arial" w:hAnsi="Arial" w:cs="Arial"/>
          <w:color w:val="000000"/>
          <w:sz w:val="23"/>
          <w:szCs w:val="23"/>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 w:name="100594"/>
      <w:bookmarkEnd w:id="2"/>
      <w:r>
        <w:rPr>
          <w:rFonts w:ascii="Arial" w:hAnsi="Arial" w:cs="Arial"/>
          <w:color w:val="000000"/>
          <w:sz w:val="23"/>
          <w:szCs w:val="23"/>
        </w:rPr>
        <w:t>3) разработку и организацию выполнения муниципальных целевых программ по вопросам обеспечения пожарной безопасности;</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3" w:name="100595"/>
      <w:bookmarkEnd w:id="3"/>
      <w:r>
        <w:rPr>
          <w:rFonts w:ascii="Arial" w:hAnsi="Arial" w:cs="Arial"/>
          <w:color w:val="000000"/>
          <w:sz w:val="23"/>
          <w:szCs w:val="23"/>
        </w:rPr>
        <w:t>4) разработку плана привлечения сил и сре</w:t>
      </w:r>
      <w:proofErr w:type="gramStart"/>
      <w:r>
        <w:rPr>
          <w:rFonts w:ascii="Arial" w:hAnsi="Arial" w:cs="Arial"/>
          <w:color w:val="000000"/>
          <w:sz w:val="23"/>
          <w:szCs w:val="23"/>
        </w:rPr>
        <w:t>дств дл</w:t>
      </w:r>
      <w:proofErr w:type="gramEnd"/>
      <w:r>
        <w:rPr>
          <w:rFonts w:ascii="Arial" w:hAnsi="Arial" w:cs="Arial"/>
          <w:color w:val="000000"/>
          <w:sz w:val="23"/>
          <w:szCs w:val="23"/>
        </w:rPr>
        <w:t>я тушения пожаров и проведения аварийно-спасательных работ на территории муниципального образования и контроль за его выполнением;</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4" w:name="100596"/>
      <w:bookmarkEnd w:id="4"/>
      <w:r>
        <w:rPr>
          <w:rFonts w:ascii="Arial" w:hAnsi="Arial" w:cs="Arial"/>
          <w:color w:val="000000"/>
          <w:sz w:val="23"/>
          <w:szCs w:val="23"/>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5" w:name="100597"/>
      <w:bookmarkEnd w:id="5"/>
      <w:r>
        <w:rPr>
          <w:rFonts w:ascii="Arial" w:hAnsi="Arial" w:cs="Arial"/>
          <w:color w:val="000000"/>
          <w:sz w:val="23"/>
          <w:szCs w:val="23"/>
        </w:rPr>
        <w:t>6) обеспечение беспрепятственного проезда пожарной техники к месту пожара;</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6" w:name="100598"/>
      <w:bookmarkEnd w:id="6"/>
      <w:r>
        <w:rPr>
          <w:rFonts w:ascii="Arial" w:hAnsi="Arial" w:cs="Arial"/>
          <w:color w:val="000000"/>
          <w:sz w:val="23"/>
          <w:szCs w:val="23"/>
        </w:rPr>
        <w:t>7) обеспечение связи и оповещения населения о пожаре;</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7" w:name="100599"/>
      <w:bookmarkEnd w:id="7"/>
      <w:r>
        <w:rPr>
          <w:rFonts w:ascii="Arial" w:hAnsi="Arial" w:cs="Arial"/>
          <w:color w:val="000000"/>
          <w:sz w:val="23"/>
          <w:szCs w:val="23"/>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8" w:name="100600"/>
      <w:bookmarkEnd w:id="8"/>
      <w:r>
        <w:rPr>
          <w:rFonts w:ascii="Arial" w:hAnsi="Arial" w:cs="Arial"/>
          <w:color w:val="000000"/>
          <w:sz w:val="23"/>
          <w:szCs w:val="23"/>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21D44" w:rsidRDefault="00621D44"/>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rsidP="00F42A2F">
      <w:pPr>
        <w:pStyle w:val="pboth"/>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b/>
          <w:bCs/>
          <w:color w:val="333333"/>
          <w:sz w:val="27"/>
          <w:szCs w:val="27"/>
          <w:shd w:val="clear" w:color="auto" w:fill="FFFFFF"/>
        </w:rPr>
        <w:t>Статья 66. Размещение взрывопожароопасных объектов на территориях поселений и городских округов</w:t>
      </w:r>
    </w:p>
    <w:p w:rsidR="00F42A2F" w:rsidRDefault="00F42A2F" w:rsidP="00F42A2F">
      <w:pPr>
        <w:pStyle w:val="pboth"/>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 xml:space="preserve">1. </w:t>
      </w:r>
      <w:proofErr w:type="gramStart"/>
      <w:r>
        <w:rPr>
          <w:rFonts w:ascii="Arial" w:hAnsi="Arial" w:cs="Arial"/>
          <w:color w:val="000000"/>
          <w:sz w:val="23"/>
          <w:szCs w:val="23"/>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rFonts w:ascii="Arial" w:hAnsi="Arial" w:cs="Arial"/>
          <w:color w:val="000000"/>
          <w:sz w:val="23"/>
          <w:szCs w:val="23"/>
        </w:rPr>
        <w:t>пожаровзрывоопасные</w:t>
      </w:r>
      <w:proofErr w:type="spellEnd"/>
      <w:r>
        <w:rPr>
          <w:rFonts w:ascii="Arial" w:hAnsi="Arial" w:cs="Arial"/>
          <w:color w:val="000000"/>
          <w:sz w:val="23"/>
          <w:szCs w:val="23"/>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Pr>
          <w:rFonts w:ascii="Arial" w:hAnsi="Arial" w:cs="Arial"/>
          <w:color w:val="000000"/>
          <w:sz w:val="23"/>
          <w:szCs w:val="23"/>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Pr>
          <w:rFonts w:ascii="Arial" w:hAnsi="Arial" w:cs="Arial"/>
          <w:color w:val="000000"/>
          <w:sz w:val="23"/>
          <w:szCs w:val="23"/>
        </w:rPr>
        <w:t xml:space="preserve"> А</w:t>
      </w:r>
      <w:proofErr w:type="gramEnd"/>
      <w:r>
        <w:rPr>
          <w:rFonts w:ascii="Arial" w:hAnsi="Arial" w:cs="Arial"/>
          <w:color w:val="000000"/>
          <w:sz w:val="23"/>
          <w:szCs w:val="23"/>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bookmarkStart w:id="9" w:name="102024"/>
      <w:bookmarkStart w:id="10" w:name="100618"/>
      <w:bookmarkEnd w:id="9"/>
      <w:bookmarkEnd w:id="10"/>
    </w:p>
    <w:p w:rsidR="00F42A2F" w:rsidRDefault="00F42A2F" w:rsidP="00F42A2F">
      <w:pPr>
        <w:pStyle w:val="pboth"/>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Pr>
          <w:rFonts w:ascii="Arial" w:hAnsi="Arial" w:cs="Arial"/>
          <w:color w:val="000000"/>
          <w:sz w:val="23"/>
          <w:szCs w:val="23"/>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4" w:history="1">
        <w:r>
          <w:rPr>
            <w:rStyle w:val="a3"/>
            <w:rFonts w:ascii="Arial" w:hAnsi="Arial" w:cs="Arial"/>
            <w:color w:val="3C5F87"/>
            <w:sz w:val="23"/>
            <w:szCs w:val="23"/>
            <w:bdr w:val="none" w:sz="0" w:space="0" w:color="auto" w:frame="1"/>
          </w:rPr>
          <w:t>законом</w:t>
        </w:r>
      </w:hyperlink>
      <w:r>
        <w:rPr>
          <w:rFonts w:ascii="Arial" w:hAnsi="Arial" w:cs="Arial"/>
          <w:color w:val="000000"/>
          <w:sz w:val="23"/>
          <w:szCs w:val="23"/>
        </w:rPr>
        <w:t> "О техническом регулировании", не установлены большие расстояния от указанных сооружений</w:t>
      </w:r>
      <w:proofErr w:type="gramEnd"/>
      <w:r>
        <w:rPr>
          <w:rFonts w:ascii="Arial" w:hAnsi="Arial" w:cs="Arial"/>
          <w:color w:val="000000"/>
          <w:sz w:val="23"/>
          <w:szCs w:val="23"/>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1" w:name="100619"/>
      <w:bookmarkEnd w:id="11"/>
      <w:r>
        <w:rPr>
          <w:rFonts w:ascii="Arial" w:hAnsi="Arial" w:cs="Arial"/>
          <w:color w:val="000000"/>
          <w:sz w:val="23"/>
          <w:szCs w:val="23"/>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Pr>
          <w:rFonts w:ascii="Arial" w:hAnsi="Arial" w:cs="Arial"/>
          <w:color w:val="000000"/>
          <w:sz w:val="23"/>
          <w:szCs w:val="23"/>
        </w:rPr>
        <w:t>путей</w:t>
      </w:r>
      <w:proofErr w:type="gramEnd"/>
      <w:r>
        <w:rPr>
          <w:rFonts w:ascii="Arial" w:hAnsi="Arial" w:cs="Arial"/>
          <w:color w:val="000000"/>
          <w:sz w:val="23"/>
          <w:szCs w:val="23"/>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Pr>
          <w:rFonts w:ascii="Arial" w:hAnsi="Arial" w:cs="Arial"/>
          <w:color w:val="000000"/>
          <w:sz w:val="23"/>
          <w:szCs w:val="23"/>
        </w:rPr>
        <w:t>путей</w:t>
      </w:r>
      <w:proofErr w:type="gramEnd"/>
      <w:r>
        <w:rPr>
          <w:rFonts w:ascii="Arial" w:hAnsi="Arial" w:cs="Arial"/>
          <w:color w:val="000000"/>
          <w:sz w:val="23"/>
          <w:szCs w:val="23"/>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w:t>
      </w:r>
      <w:r>
        <w:rPr>
          <w:rFonts w:ascii="Arial" w:hAnsi="Arial" w:cs="Arial"/>
          <w:color w:val="000000"/>
          <w:sz w:val="23"/>
          <w:szCs w:val="23"/>
        </w:rPr>
        <w:lastRenderedPageBreak/>
        <w:t>траншеи), предотвращающие растекание жидкости на территории населенных пунктов, организаций и на пути железных дорог общей сети.</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2" w:name="102324"/>
      <w:bookmarkStart w:id="13" w:name="000006"/>
      <w:bookmarkStart w:id="14" w:name="100620"/>
      <w:bookmarkStart w:id="15" w:name="102025"/>
      <w:bookmarkEnd w:id="12"/>
      <w:bookmarkEnd w:id="13"/>
      <w:bookmarkEnd w:id="14"/>
      <w:bookmarkEnd w:id="15"/>
      <w:r>
        <w:rPr>
          <w:rFonts w:ascii="Arial" w:hAnsi="Arial" w:cs="Arial"/>
          <w:color w:val="000000"/>
          <w:sz w:val="23"/>
          <w:szCs w:val="23"/>
        </w:rPr>
        <w:t>4. Утратил силу. - Федеральный закон от 29.07.2017 N 244-ФЗ.</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6" w:name="102026"/>
      <w:bookmarkStart w:id="17" w:name="100621"/>
      <w:bookmarkEnd w:id="16"/>
      <w:bookmarkEnd w:id="17"/>
      <w:r>
        <w:rPr>
          <w:rFonts w:ascii="Arial" w:hAnsi="Arial" w:cs="Arial"/>
          <w:color w:val="000000"/>
          <w:sz w:val="23"/>
          <w:szCs w:val="23"/>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Pr="00F42A2F" w:rsidRDefault="00F42A2F" w:rsidP="00F42A2F">
      <w:pPr>
        <w:spacing w:after="0" w:line="351" w:lineRule="atLeast"/>
        <w:outlineLvl w:val="0"/>
        <w:rPr>
          <w:rFonts w:ascii="Arial" w:eastAsia="Times New Roman" w:hAnsi="Arial" w:cs="Arial"/>
          <w:b/>
          <w:bCs/>
          <w:color w:val="333333"/>
          <w:kern w:val="36"/>
          <w:sz w:val="27"/>
          <w:szCs w:val="27"/>
          <w:lang w:eastAsia="ru-RU"/>
        </w:rPr>
      </w:pPr>
      <w:r w:rsidRPr="00F42A2F">
        <w:rPr>
          <w:rFonts w:ascii="Arial" w:eastAsia="Times New Roman" w:hAnsi="Arial" w:cs="Arial"/>
          <w:b/>
          <w:bCs/>
          <w:color w:val="333333"/>
          <w:kern w:val="36"/>
          <w:sz w:val="27"/>
          <w:szCs w:val="27"/>
          <w:lang w:eastAsia="ru-RU"/>
        </w:rPr>
        <w:t>Статья 70. Противопожарные расстояния от зданий и сооружений складов нефти и нефтепродуктов до граничащих с ними объектов защиты</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r>
        <w:rPr>
          <w:rFonts w:ascii="Arial" w:hAnsi="Arial" w:cs="Arial"/>
          <w:color w:val="000000"/>
          <w:sz w:val="23"/>
          <w:szCs w:val="23"/>
        </w:rPr>
        <w:t>1. Противопожарные расстояния от зданий и сооружений категорий</w:t>
      </w:r>
      <w:proofErr w:type="gramStart"/>
      <w:r>
        <w:rPr>
          <w:rFonts w:ascii="Arial" w:hAnsi="Arial" w:cs="Arial"/>
          <w:color w:val="000000"/>
          <w:sz w:val="23"/>
          <w:szCs w:val="23"/>
        </w:rPr>
        <w:t xml:space="preserve"> А</w:t>
      </w:r>
      <w:proofErr w:type="gramEnd"/>
      <w:r>
        <w:rPr>
          <w:rFonts w:ascii="Arial" w:hAnsi="Arial" w:cs="Arial"/>
          <w:color w:val="000000"/>
          <w:sz w:val="23"/>
          <w:szCs w:val="23"/>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5" w:history="1">
        <w:r>
          <w:rPr>
            <w:rStyle w:val="a3"/>
            <w:rFonts w:ascii="Arial" w:hAnsi="Arial" w:cs="Arial"/>
            <w:color w:val="3C5F87"/>
            <w:sz w:val="23"/>
            <w:szCs w:val="23"/>
            <w:bdr w:val="none" w:sz="0" w:space="0" w:color="auto" w:frame="1"/>
          </w:rPr>
          <w:t>таблицей 12</w:t>
        </w:r>
      </w:hyperlink>
      <w:r>
        <w:rPr>
          <w:rFonts w:ascii="Arial" w:hAnsi="Arial" w:cs="Arial"/>
          <w:color w:val="000000"/>
          <w:sz w:val="23"/>
          <w:szCs w:val="23"/>
        </w:rPr>
        <w:t> приложения к настоящему Федеральному закону.</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8" w:name="100690"/>
      <w:bookmarkEnd w:id="18"/>
      <w:r>
        <w:rPr>
          <w:rFonts w:ascii="Arial" w:hAnsi="Arial" w:cs="Arial"/>
          <w:color w:val="000000"/>
          <w:sz w:val="23"/>
          <w:szCs w:val="23"/>
        </w:rPr>
        <w:t>2. Расстояния, указанные в </w:t>
      </w:r>
      <w:hyperlink r:id="rId6" w:history="1">
        <w:r>
          <w:rPr>
            <w:rStyle w:val="a3"/>
            <w:rFonts w:ascii="Arial" w:hAnsi="Arial" w:cs="Arial"/>
            <w:color w:val="3C5F87"/>
            <w:sz w:val="23"/>
            <w:szCs w:val="23"/>
            <w:bdr w:val="none" w:sz="0" w:space="0" w:color="auto" w:frame="1"/>
          </w:rPr>
          <w:t>таблице 12</w:t>
        </w:r>
      </w:hyperlink>
      <w:r>
        <w:rPr>
          <w:rFonts w:ascii="Arial" w:hAnsi="Arial" w:cs="Arial"/>
          <w:color w:val="000000"/>
          <w:sz w:val="23"/>
          <w:szCs w:val="23"/>
        </w:rPr>
        <w:t>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r:id="rId7" w:history="1">
        <w:r>
          <w:rPr>
            <w:rStyle w:val="a3"/>
            <w:rFonts w:ascii="Arial" w:hAnsi="Arial" w:cs="Arial"/>
            <w:color w:val="3C5F87"/>
            <w:sz w:val="23"/>
            <w:szCs w:val="23"/>
            <w:bdr w:val="none" w:sz="0" w:space="0" w:color="auto" w:frame="1"/>
          </w:rPr>
          <w:t>таблице 12</w:t>
        </w:r>
      </w:hyperlink>
      <w:r>
        <w:rPr>
          <w:rFonts w:ascii="Arial" w:hAnsi="Arial" w:cs="Arial"/>
          <w:color w:val="000000"/>
          <w:sz w:val="23"/>
          <w:szCs w:val="23"/>
        </w:rPr>
        <w:t> приложения к настоящему Федеральному закону, определяются:</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19" w:name="102044"/>
      <w:bookmarkStart w:id="20" w:name="100691"/>
      <w:bookmarkEnd w:id="19"/>
      <w:bookmarkEnd w:id="20"/>
      <w:r>
        <w:rPr>
          <w:rFonts w:ascii="Arial" w:hAnsi="Arial" w:cs="Arial"/>
          <w:color w:val="000000"/>
          <w:sz w:val="23"/>
          <w:szCs w:val="23"/>
        </w:rPr>
        <w:t>1) между зданиями и сооружениями - как расстояние в свету между наружными стенами или конструкциями зданий и сооружений;</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1" w:name="100692"/>
      <w:bookmarkEnd w:id="21"/>
      <w:r>
        <w:rPr>
          <w:rFonts w:ascii="Arial" w:hAnsi="Arial" w:cs="Arial"/>
          <w:color w:val="000000"/>
          <w:sz w:val="23"/>
          <w:szCs w:val="23"/>
        </w:rPr>
        <w:t>2) от сливоналивных устройств - от оси железнодорожного пути со сливоналивными эстакадами;</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2" w:name="100693"/>
      <w:bookmarkEnd w:id="22"/>
      <w:r>
        <w:rPr>
          <w:rFonts w:ascii="Arial" w:hAnsi="Arial" w:cs="Arial"/>
          <w:color w:val="000000"/>
          <w:sz w:val="23"/>
          <w:szCs w:val="23"/>
        </w:rPr>
        <w:t>3) от площадок (открытых и под навесами) для сливоналивных устройств автомобильных цистерн, для насосов, тары - от границ этих площадок;</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3" w:name="100694"/>
      <w:bookmarkEnd w:id="23"/>
      <w:r>
        <w:rPr>
          <w:rFonts w:ascii="Arial" w:hAnsi="Arial" w:cs="Arial"/>
          <w:color w:val="000000"/>
          <w:sz w:val="23"/>
          <w:szCs w:val="23"/>
        </w:rPr>
        <w:t>4) от технологических эстакад и трубопроводов - от крайнего трубопровода;</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4" w:name="100695"/>
      <w:bookmarkEnd w:id="24"/>
      <w:r>
        <w:rPr>
          <w:rFonts w:ascii="Arial" w:hAnsi="Arial" w:cs="Arial"/>
          <w:color w:val="000000"/>
          <w:sz w:val="23"/>
          <w:szCs w:val="23"/>
        </w:rPr>
        <w:t>5) от факельных установок - от ствола факела.</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5" w:name="102045"/>
      <w:bookmarkStart w:id="26" w:name="100696"/>
      <w:bookmarkEnd w:id="25"/>
      <w:bookmarkEnd w:id="26"/>
      <w:r>
        <w:rPr>
          <w:rFonts w:ascii="Arial" w:hAnsi="Arial" w:cs="Arial"/>
          <w:color w:val="000000"/>
          <w:sz w:val="23"/>
          <w:szCs w:val="23"/>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r:id="rId8" w:history="1">
        <w:r>
          <w:rPr>
            <w:rStyle w:val="a3"/>
            <w:rFonts w:ascii="Arial" w:hAnsi="Arial" w:cs="Arial"/>
            <w:color w:val="3C5F87"/>
            <w:sz w:val="23"/>
            <w:szCs w:val="23"/>
            <w:bdr w:val="none" w:sz="0" w:space="0" w:color="auto" w:frame="1"/>
          </w:rPr>
          <w:t>таблице 12</w:t>
        </w:r>
      </w:hyperlink>
      <w:r>
        <w:rPr>
          <w:rFonts w:ascii="Arial" w:hAnsi="Arial" w:cs="Arial"/>
          <w:color w:val="000000"/>
          <w:sz w:val="23"/>
          <w:szCs w:val="23"/>
        </w:rPr>
        <w:t>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27" w:name="000032"/>
      <w:bookmarkStart w:id="28" w:name="102046"/>
      <w:bookmarkStart w:id="29" w:name="100697"/>
      <w:bookmarkEnd w:id="27"/>
      <w:bookmarkEnd w:id="28"/>
      <w:bookmarkEnd w:id="29"/>
      <w:r>
        <w:rPr>
          <w:rFonts w:ascii="Arial" w:hAnsi="Arial" w:cs="Arial"/>
          <w:color w:val="000000"/>
          <w:sz w:val="23"/>
          <w:szCs w:val="23"/>
        </w:rP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30" w:name="100698"/>
      <w:bookmarkEnd w:id="30"/>
      <w:r>
        <w:rPr>
          <w:rFonts w:ascii="Arial" w:hAnsi="Arial" w:cs="Arial"/>
          <w:color w:val="000000"/>
          <w:sz w:val="23"/>
          <w:szCs w:val="23"/>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Pr>
          <w:rFonts w:ascii="Arial" w:hAnsi="Arial" w:cs="Arial"/>
          <w:color w:val="000000"/>
          <w:sz w:val="23"/>
          <w:szCs w:val="23"/>
        </w:rPr>
        <w:t>путей</w:t>
      </w:r>
      <w:proofErr w:type="gramEnd"/>
      <w:r>
        <w:rPr>
          <w:rFonts w:ascii="Arial" w:hAnsi="Arial" w:cs="Arial"/>
          <w:color w:val="000000"/>
          <w:sz w:val="23"/>
          <w:szCs w:val="23"/>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31" w:name="102047"/>
      <w:bookmarkStart w:id="32" w:name="100699"/>
      <w:bookmarkEnd w:id="31"/>
      <w:bookmarkEnd w:id="32"/>
      <w:r>
        <w:rPr>
          <w:rFonts w:ascii="Arial" w:hAnsi="Arial" w:cs="Arial"/>
          <w:color w:val="000000"/>
          <w:sz w:val="23"/>
          <w:szCs w:val="23"/>
        </w:rPr>
        <w:lastRenderedPageBreak/>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Pr>
          <w:rFonts w:ascii="Arial" w:hAnsi="Arial" w:cs="Arial"/>
          <w:color w:val="000000"/>
          <w:sz w:val="23"/>
          <w:szCs w:val="23"/>
        </w:rPr>
        <w:t>энергообъектах</w:t>
      </w:r>
      <w:proofErr w:type="spellEnd"/>
      <w:r>
        <w:rPr>
          <w:rFonts w:ascii="Arial" w:hAnsi="Arial" w:cs="Arial"/>
          <w:color w:val="000000"/>
          <w:sz w:val="23"/>
          <w:szCs w:val="23"/>
        </w:rPr>
        <w:t>, обслуживающих жилые и общественные здания и сооружения, должны составлять не менее расстояний, приведенных в </w:t>
      </w:r>
      <w:hyperlink r:id="rId9" w:history="1">
        <w:r>
          <w:rPr>
            <w:rStyle w:val="a3"/>
            <w:rFonts w:ascii="Arial" w:hAnsi="Arial" w:cs="Arial"/>
            <w:color w:val="3C5F87"/>
            <w:sz w:val="23"/>
            <w:szCs w:val="23"/>
            <w:bdr w:val="none" w:sz="0" w:space="0" w:color="auto" w:frame="1"/>
          </w:rPr>
          <w:t>таблице 13</w:t>
        </w:r>
      </w:hyperlink>
      <w:r>
        <w:rPr>
          <w:rFonts w:ascii="Arial" w:hAnsi="Arial" w:cs="Arial"/>
          <w:color w:val="000000"/>
          <w:sz w:val="23"/>
          <w:szCs w:val="23"/>
        </w:rPr>
        <w:t> приложения к настоящему Федеральному закону.</w:t>
      </w:r>
    </w:p>
    <w:p w:rsidR="00F42A2F" w:rsidRDefault="00F42A2F" w:rsidP="00F42A2F">
      <w:pPr>
        <w:pStyle w:val="pboth"/>
        <w:shd w:val="clear" w:color="auto" w:fill="FFFFFF"/>
        <w:spacing w:before="0" w:beforeAutospacing="0" w:after="0" w:afterAutospacing="0" w:line="293" w:lineRule="atLeast"/>
        <w:rPr>
          <w:rFonts w:ascii="Arial" w:hAnsi="Arial" w:cs="Arial"/>
          <w:color w:val="000000"/>
          <w:sz w:val="23"/>
          <w:szCs w:val="23"/>
        </w:rPr>
      </w:pPr>
      <w:bookmarkStart w:id="33" w:name="100700"/>
      <w:bookmarkEnd w:id="33"/>
      <w:r>
        <w:rPr>
          <w:rFonts w:ascii="Arial" w:hAnsi="Arial" w:cs="Arial"/>
          <w:color w:val="000000"/>
          <w:sz w:val="23"/>
          <w:szCs w:val="23"/>
        </w:rPr>
        <w:t>7. Категории складов нефти и нефтепродуктов определяются в соответствии с </w:t>
      </w:r>
      <w:hyperlink r:id="rId10" w:history="1">
        <w:r>
          <w:rPr>
            <w:rStyle w:val="a3"/>
            <w:rFonts w:ascii="Arial" w:hAnsi="Arial" w:cs="Arial"/>
            <w:color w:val="3C5F87"/>
            <w:sz w:val="23"/>
            <w:szCs w:val="23"/>
            <w:bdr w:val="none" w:sz="0" w:space="0" w:color="auto" w:frame="1"/>
          </w:rPr>
          <w:t>таблицей 14</w:t>
        </w:r>
      </w:hyperlink>
      <w:r>
        <w:rPr>
          <w:rFonts w:ascii="Arial" w:hAnsi="Arial" w:cs="Arial"/>
          <w:color w:val="000000"/>
          <w:sz w:val="23"/>
          <w:szCs w:val="23"/>
        </w:rPr>
        <w:t> приложения к настоящему Федеральному закону.</w:t>
      </w:r>
    </w:p>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p w:rsidR="00F42A2F" w:rsidRDefault="00F42A2F"/>
    <w:sectPr w:rsidR="00F42A2F" w:rsidSect="00621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A2F"/>
    <w:rsid w:val="00621D44"/>
    <w:rsid w:val="00F4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44"/>
  </w:style>
  <w:style w:type="paragraph" w:styleId="1">
    <w:name w:val="heading 1"/>
    <w:basedOn w:val="a"/>
    <w:link w:val="10"/>
    <w:uiPriority w:val="9"/>
    <w:qFormat/>
    <w:rsid w:val="00F42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42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2A2F"/>
    <w:rPr>
      <w:color w:val="0000FF"/>
      <w:u w:val="single"/>
    </w:rPr>
  </w:style>
  <w:style w:type="character" w:customStyle="1" w:styleId="10">
    <w:name w:val="Заголовок 1 Знак"/>
    <w:basedOn w:val="a0"/>
    <w:link w:val="1"/>
    <w:uiPriority w:val="9"/>
    <w:rsid w:val="00F42A2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21948954">
      <w:bodyDiv w:val="1"/>
      <w:marLeft w:val="0"/>
      <w:marRight w:val="0"/>
      <w:marTop w:val="0"/>
      <w:marBottom w:val="0"/>
      <w:divBdr>
        <w:top w:val="none" w:sz="0" w:space="0" w:color="auto"/>
        <w:left w:val="none" w:sz="0" w:space="0" w:color="auto"/>
        <w:bottom w:val="none" w:sz="0" w:space="0" w:color="auto"/>
        <w:right w:val="none" w:sz="0" w:space="0" w:color="auto"/>
      </w:divBdr>
    </w:div>
    <w:div w:id="530336674">
      <w:bodyDiv w:val="1"/>
      <w:marLeft w:val="0"/>
      <w:marRight w:val="0"/>
      <w:marTop w:val="0"/>
      <w:marBottom w:val="0"/>
      <w:divBdr>
        <w:top w:val="none" w:sz="0" w:space="0" w:color="auto"/>
        <w:left w:val="none" w:sz="0" w:space="0" w:color="auto"/>
        <w:bottom w:val="none" w:sz="0" w:space="0" w:color="auto"/>
        <w:right w:val="none" w:sz="0" w:space="0" w:color="auto"/>
      </w:divBdr>
    </w:div>
    <w:div w:id="573051007">
      <w:bodyDiv w:val="1"/>
      <w:marLeft w:val="0"/>
      <w:marRight w:val="0"/>
      <w:marTop w:val="0"/>
      <w:marBottom w:val="0"/>
      <w:divBdr>
        <w:top w:val="none" w:sz="0" w:space="0" w:color="auto"/>
        <w:left w:val="none" w:sz="0" w:space="0" w:color="auto"/>
        <w:bottom w:val="none" w:sz="0" w:space="0" w:color="auto"/>
        <w:right w:val="none" w:sz="0" w:space="0" w:color="auto"/>
      </w:divBdr>
    </w:div>
    <w:div w:id="1110005799">
      <w:bodyDiv w:val="1"/>
      <w:marLeft w:val="0"/>
      <w:marRight w:val="0"/>
      <w:marTop w:val="0"/>
      <w:marBottom w:val="0"/>
      <w:divBdr>
        <w:top w:val="none" w:sz="0" w:space="0" w:color="auto"/>
        <w:left w:val="none" w:sz="0" w:space="0" w:color="auto"/>
        <w:bottom w:val="none" w:sz="0" w:space="0" w:color="auto"/>
        <w:right w:val="none" w:sz="0" w:space="0" w:color="auto"/>
      </w:divBdr>
    </w:div>
    <w:div w:id="12373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2072008-n-123-fz-tekhnicheskii/prilozhenie/tablitsa-12/" TargetMode="External"/><Relationship Id="rId3" Type="http://schemas.openxmlformats.org/officeDocument/2006/relationships/webSettings" Target="webSettings.xml"/><Relationship Id="rId7" Type="http://schemas.openxmlformats.org/officeDocument/2006/relationships/hyperlink" Target="https://sudact.ru/law/federalnyi-zakon-ot-22072008-n-123-fz-tekhnicheskii/prilozhenie/tablitsa-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2072008-n-123-fz-tekhnicheskii/prilozhenie/tablitsa-12/" TargetMode="External"/><Relationship Id="rId11" Type="http://schemas.openxmlformats.org/officeDocument/2006/relationships/fontTable" Target="fontTable.xml"/><Relationship Id="rId5" Type="http://schemas.openxmlformats.org/officeDocument/2006/relationships/hyperlink" Target="https://sudact.ru/law/federalnyi-zakon-ot-22072008-n-123-fz-tekhnicheskii/prilozhenie/tablitsa-12/" TargetMode="External"/><Relationship Id="rId10" Type="http://schemas.openxmlformats.org/officeDocument/2006/relationships/hyperlink" Target="https://sudact.ru/law/federalnyi-zakon-ot-22072008-n-123-fz-tekhnicheskii/prilozhenie/tablitsa-14/" TargetMode="External"/><Relationship Id="rId4" Type="http://schemas.openxmlformats.org/officeDocument/2006/relationships/hyperlink" Target="https://sudact.ru/law/federalnyi-zakon-ot-27122002-n-184-fz-o/" TargetMode="External"/><Relationship Id="rId9" Type="http://schemas.openxmlformats.org/officeDocument/2006/relationships/hyperlink" Target="https://sudact.ru/law/federalnyi-zakon-ot-22072008-n-123-fz-tekhnicheskii/prilozhenie/tablitsa-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2022-04-08T05:35:00Z</dcterms:created>
  <dcterms:modified xsi:type="dcterms:W3CDTF">2022-04-08T05:42:00Z</dcterms:modified>
</cp:coreProperties>
</file>